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1541"/>
        <w:gridCol w:w="864"/>
        <w:gridCol w:w="4428"/>
        <w:gridCol w:w="2229"/>
      </w:tblGrid>
      <w:tr w:rsidR="003F4A0B" w:rsidRPr="00E856EE" w:rsidTr="005E50DE">
        <w:trPr>
          <w:jc w:val="center"/>
        </w:trPr>
        <w:tc>
          <w:tcPr>
            <w:tcW w:w="1541" w:type="dxa"/>
            <w:shd w:val="clear" w:color="auto" w:fill="E7E6E6" w:themeFill="background2"/>
            <w:vAlign w:val="center"/>
          </w:tcPr>
          <w:p w:rsidR="003F4A0B" w:rsidRPr="00E856EE" w:rsidRDefault="003F4A0B" w:rsidP="003F4A0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2"/>
                <w:szCs w:val="12"/>
              </w:rPr>
            </w:pPr>
            <w:r w:rsidRPr="00E856EE">
              <w:rPr>
                <w:rFonts w:ascii="Times New Roman" w:eastAsia="Times New Roman" w:hAnsi="Times New Roman" w:cs="Times New Roman"/>
                <w:noProof/>
                <w:color w:val="000000"/>
                <w:sz w:val="12"/>
                <w:szCs w:val="12"/>
              </w:rPr>
              <w:t>STEMA UNITĂȚII ADMINISTRATIV-TERITORIALE</w:t>
            </w:r>
          </w:p>
        </w:tc>
        <w:tc>
          <w:tcPr>
            <w:tcW w:w="5292" w:type="dxa"/>
            <w:gridSpan w:val="2"/>
            <w:shd w:val="clear" w:color="auto" w:fill="E7E6E6" w:themeFill="background2"/>
            <w:vAlign w:val="center"/>
          </w:tcPr>
          <w:p w:rsidR="003F4A0B" w:rsidRPr="00E856EE" w:rsidRDefault="003F4A0B" w:rsidP="003F4A0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E856EE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ROMÂNIA</w:t>
            </w:r>
          </w:p>
          <w:p w:rsidR="003F4A0B" w:rsidRPr="00E856EE" w:rsidRDefault="003F4A0B" w:rsidP="003F4A0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E856EE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JUDEȚUL BIHOR</w:t>
            </w:r>
          </w:p>
          <w:p w:rsidR="003F4A0B" w:rsidRPr="00E856EE" w:rsidRDefault="003F4A0B" w:rsidP="003F4A0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E856EE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COMUNA TULCA</w:t>
            </w:r>
          </w:p>
          <w:p w:rsidR="003F4A0B" w:rsidRPr="00E856EE" w:rsidRDefault="003F4A0B" w:rsidP="003F4A0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E856EE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CIF 5149128</w:t>
            </w:r>
          </w:p>
          <w:p w:rsidR="003F4A0B" w:rsidRPr="00E856EE" w:rsidRDefault="003F4A0B" w:rsidP="003F4A0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E856EE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jud. Bihor, loc. Tulca, nr. 231</w:t>
            </w:r>
          </w:p>
          <w:p w:rsidR="003F4A0B" w:rsidRPr="00E856EE" w:rsidRDefault="003F4A0B" w:rsidP="003F4A0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E856EE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tel. 0259.314.894, fax 0259.314.896, email </w:t>
            </w:r>
            <w:hyperlink r:id="rId5" w:history="1">
              <w:r w:rsidRPr="00E856EE">
                <w:rPr>
                  <w:rStyle w:val="Hyperlink"/>
                  <w:rFonts w:ascii="Times New Roman" w:eastAsia="Times New Roman" w:hAnsi="Times New Roman" w:cs="Times New Roman"/>
                  <w:noProof/>
                  <w:sz w:val="16"/>
                  <w:szCs w:val="16"/>
                </w:rPr>
                <w:t>secretariat@primaria.tulca.ro</w:t>
              </w:r>
            </w:hyperlink>
          </w:p>
        </w:tc>
        <w:tc>
          <w:tcPr>
            <w:tcW w:w="2229" w:type="dxa"/>
            <w:shd w:val="clear" w:color="auto" w:fill="E7E6E6" w:themeFill="background2"/>
            <w:vAlign w:val="center"/>
          </w:tcPr>
          <w:p w:rsidR="003F4A0B" w:rsidRPr="00E856EE" w:rsidRDefault="003F4A0B" w:rsidP="003F4A0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E856EE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Anexa nr. 5</w:t>
            </w:r>
          </w:p>
          <w:p w:rsidR="003F4A0B" w:rsidRPr="00E856EE" w:rsidRDefault="003F4A0B" w:rsidP="003F4A0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E856EE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Model 2016 ITL – 00</w:t>
            </w:r>
            <w:r w:rsidR="005E50DE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6</w:t>
            </w:r>
          </w:p>
          <w:p w:rsidR="003F4A0B" w:rsidRPr="00E856EE" w:rsidRDefault="003F4A0B" w:rsidP="003F4A0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</w:p>
          <w:p w:rsidR="003F4A0B" w:rsidRPr="00E856EE" w:rsidRDefault="003F4A0B" w:rsidP="003F4A0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E856EE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Nr. înregistrare ………… / data ……………</w:t>
            </w:r>
          </w:p>
        </w:tc>
      </w:tr>
      <w:tr w:rsidR="003F4A0B" w:rsidRPr="00E856EE" w:rsidTr="005E50DE">
        <w:trPr>
          <w:jc w:val="center"/>
        </w:trPr>
        <w:tc>
          <w:tcPr>
            <w:tcW w:w="1541" w:type="dxa"/>
            <w:shd w:val="clear" w:color="auto" w:fill="E7E6E6" w:themeFill="background2"/>
            <w:vAlign w:val="center"/>
          </w:tcPr>
          <w:p w:rsidR="003F4A0B" w:rsidRPr="00E856EE" w:rsidRDefault="003F4A0B" w:rsidP="003F4A0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2"/>
                <w:szCs w:val="12"/>
              </w:rPr>
            </w:pPr>
            <w:r w:rsidRPr="00E856EE">
              <w:rPr>
                <w:rFonts w:ascii="Times New Roman" w:eastAsia="Times New Roman" w:hAnsi="Times New Roman" w:cs="Times New Roman"/>
                <w:noProof/>
                <w:color w:val="000000"/>
                <w:sz w:val="12"/>
                <w:szCs w:val="12"/>
              </w:rPr>
              <w:t>Număr de rol nominal unic</w:t>
            </w:r>
          </w:p>
        </w:tc>
        <w:tc>
          <w:tcPr>
            <w:tcW w:w="864" w:type="dxa"/>
            <w:vAlign w:val="center"/>
          </w:tcPr>
          <w:p w:rsidR="003F4A0B" w:rsidRPr="00E856EE" w:rsidRDefault="003F4A0B" w:rsidP="003F4A0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E7E6E6" w:themeFill="background2"/>
            <w:vAlign w:val="center"/>
          </w:tcPr>
          <w:p w:rsidR="003F4A0B" w:rsidRPr="00E856EE" w:rsidRDefault="005637F6" w:rsidP="003F4A0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2"/>
                <w:szCs w:val="12"/>
              </w:rPr>
            </w:pPr>
            <w:r w:rsidRPr="00E856EE">
              <w:rPr>
                <w:rFonts w:ascii="Times New Roman" w:eastAsia="Times New Roman" w:hAnsi="Times New Roman" w:cs="Times New Roman"/>
                <w:noProof/>
                <w:color w:val="000000"/>
                <w:sz w:val="12"/>
                <w:szCs w:val="12"/>
              </w:rPr>
              <w:t>Nr. și data înregistrării în Registrul de evidență a mijloacelor de transport supuse înmatriculării/ înregistrării</w:t>
            </w:r>
          </w:p>
        </w:tc>
        <w:tc>
          <w:tcPr>
            <w:tcW w:w="2229" w:type="dxa"/>
            <w:vAlign w:val="center"/>
          </w:tcPr>
          <w:p w:rsidR="003F4A0B" w:rsidRPr="00E856EE" w:rsidRDefault="003F4A0B" w:rsidP="003F4A0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</w:p>
        </w:tc>
      </w:tr>
    </w:tbl>
    <w:p w:rsidR="003F4A0B" w:rsidRPr="00E856EE" w:rsidRDefault="003F4A0B" w:rsidP="003F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:rsidR="003F4A0B" w:rsidRPr="00E856EE" w:rsidRDefault="005E50DE" w:rsidP="00563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</w:pPr>
      <w:r w:rsidRPr="00E856EE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t>DECLARAȚIE FISCALĂ</w:t>
      </w:r>
    </w:p>
    <w:p w:rsidR="00336099" w:rsidRPr="00E856EE" w:rsidRDefault="005637F6" w:rsidP="00563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</w:pPr>
      <w:r w:rsidRPr="00E856EE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t>pentru stabilirea impozitului</w:t>
      </w:r>
      <w:r w:rsidR="005E50DE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t xml:space="preserve"> asupra</w:t>
      </w:r>
      <w:r w:rsidRPr="00E856EE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t xml:space="preserve"> mijloacele de transport</w:t>
      </w:r>
      <w:r w:rsidR="005E50DE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t xml:space="preserve"> marfă</w:t>
      </w:r>
      <w:r w:rsidRPr="00E856EE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t xml:space="preserve"> </w:t>
      </w:r>
      <w:r w:rsidR="005E50DE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t xml:space="preserve">cu masa totală autorizată de peste 12 tone </w:t>
      </w:r>
      <w:r w:rsidRPr="00E856EE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t xml:space="preserve">aflate în proprietatea </w:t>
      </w:r>
    </w:p>
    <w:p w:rsidR="005637F6" w:rsidRPr="00E856EE" w:rsidRDefault="005E50DE" w:rsidP="00563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|_|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637F6" w:rsidRPr="00E856EE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t>persoanelor fizice (PF)</w:t>
      </w:r>
      <w:r w:rsidR="00336099" w:rsidRPr="00E856EE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t xml:space="preserve"> sau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t xml:space="preserve">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|_|</w:t>
      </w:r>
      <w:r w:rsidR="00336099" w:rsidRPr="00E856EE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t xml:space="preserve"> persoanelor juridice (PJ)</w:t>
      </w:r>
    </w:p>
    <w:p w:rsidR="00336099" w:rsidRPr="00E856EE" w:rsidRDefault="00336099" w:rsidP="003F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4A0B" w:rsidRPr="00E856EE" w:rsidRDefault="003F4A0B" w:rsidP="003F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Subsemnatul |_|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Contribuabilul </w:t>
      </w:r>
      <w:r w:rsidR="005E50DE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PF</w:t>
      </w:r>
      <w:r w:rsidR="005E50DE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/|_| împuternicit </w:t>
      </w:r>
      <w:r w:rsidR="005E50DE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PJ</w:t>
      </w:r>
      <w:r w:rsidR="005E50DE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.......................................................................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, legitimat prin BI/C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/AI serie .....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nr. ..........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...,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CNP .........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, jude</w:t>
      </w:r>
      <w:r w:rsid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ț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.........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....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loc. .........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...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cod po</w:t>
      </w:r>
      <w:r w:rsid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ș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tal .........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....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sector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...............................,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nr.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bloc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scara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etaj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ap.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tel.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...............................,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fax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...............................,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adresă de e-mail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...............................,</w:t>
      </w:r>
    </w:p>
    <w:p w:rsidR="003F4A0B" w:rsidRPr="00E856EE" w:rsidRDefault="003F4A0B" w:rsidP="003F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do|ax5|pa3"/>
      <w:bookmarkEnd w:id="0"/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Contribuabilul (PJ)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...............................,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Codul de identificare fiscală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...............................,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jude</w:t>
      </w:r>
      <w:r w:rsid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ț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...............,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loc.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...............................,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cod po</w:t>
      </w:r>
      <w:r w:rsid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ș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tal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..............,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sector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...............................,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nr.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bloc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scara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etaj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ap.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tel.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...............................,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fax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...............................,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adresă de e-mail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...............................,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înregistrat la registrul comer</w:t>
      </w:r>
      <w:r w:rsid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ț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ului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...............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la nr.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...............................,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cont IBAN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deschis la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</w:t>
      </w:r>
    </w:p>
    <w:p w:rsidR="003F4A0B" w:rsidRPr="00E856EE" w:rsidRDefault="003F4A0B" w:rsidP="00D11D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do|ax5|pa4"/>
      <w:bookmarkEnd w:id="1"/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în temeiul prevederilor Legii nr. </w:t>
      </w:r>
      <w:hyperlink r:id="rId6" w:history="1">
        <w:r w:rsidRPr="00E856EE">
          <w:rPr>
            <w:rFonts w:ascii="Times New Roman" w:eastAsia="Times New Roman" w:hAnsi="Times New Roman" w:cs="Times New Roman"/>
            <w:b/>
            <w:bCs/>
            <w:color w:val="333399"/>
            <w:sz w:val="20"/>
            <w:szCs w:val="20"/>
            <w:u w:val="single"/>
          </w:rPr>
          <w:t>227/2015</w:t>
        </w:r>
      </w:hyperlink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 privind </w:t>
      </w:r>
      <w:hyperlink r:id="rId7" w:history="1">
        <w:r w:rsidRPr="00E856EE">
          <w:rPr>
            <w:rFonts w:ascii="Times New Roman" w:eastAsia="Times New Roman" w:hAnsi="Times New Roman" w:cs="Times New Roman"/>
            <w:b/>
            <w:bCs/>
            <w:color w:val="333399"/>
            <w:sz w:val="20"/>
            <w:szCs w:val="20"/>
            <w:u w:val="single"/>
          </w:rPr>
          <w:t>Codul fiscal</w:t>
        </w:r>
      </w:hyperlink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cu modificările </w:t>
      </w:r>
      <w:r w:rsid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ș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i completările ulterioare declar că am dobândit prin vânzare-cumpărare/</w:t>
      </w:r>
      <w:r w:rsidR="00E856EE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achizi</w:t>
      </w:r>
      <w:r w:rsid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ț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ionare prin contract de leasing următoarele mijloace de transport</w:t>
      </w:r>
      <w:r w:rsidR="005E50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cu masa totală autorizată de peste 12 tone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808"/>
        <w:gridCol w:w="1177"/>
        <w:gridCol w:w="1177"/>
        <w:gridCol w:w="1177"/>
        <w:gridCol w:w="1177"/>
        <w:gridCol w:w="996"/>
      </w:tblGrid>
      <w:tr w:rsidR="003F4A0B" w:rsidRPr="005E50DE" w:rsidTr="00E856EE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5E50D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2" w:name="do|ax5|pa5"/>
            <w:bookmarkStart w:id="3" w:name="do|ax5|pa6"/>
            <w:bookmarkEnd w:id="2"/>
            <w:bookmarkEnd w:id="3"/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Nr. crt.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5E50D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Marca </w:t>
            </w:r>
            <w:r w:rsidR="00E856EE"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</w:t>
            </w: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tipul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5E50D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Data dobândirii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5E50D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Serie </w:t>
            </w:r>
            <w:r w:rsidR="00E856EE"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</w:t>
            </w: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asiu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5E50DE" w:rsidRDefault="005E50DE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Masa autorizată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5E50DE" w:rsidRDefault="005E50DE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Suspensie* SP/AS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5E50D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Anul fabrica</w:t>
            </w:r>
            <w:r w:rsidR="00E856EE"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ț</w:t>
            </w: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iei</w:t>
            </w:r>
          </w:p>
        </w:tc>
      </w:tr>
      <w:tr w:rsidR="003F4A0B" w:rsidRPr="005E50DE" w:rsidTr="00E856EE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5E50D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5E50D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5E50D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5E50D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5E50D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5E50D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5E50D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3F4A0B" w:rsidRPr="005E50DE" w:rsidTr="00E856EE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5E50DE" w:rsidRDefault="005E50DE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Vehicule cu două axe</w:t>
            </w:r>
          </w:p>
        </w:tc>
      </w:tr>
      <w:tr w:rsidR="003F4A0B" w:rsidRPr="005E50D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5E50D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4A0B" w:rsidRPr="005E50D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5E50D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4A0B" w:rsidRPr="005E50D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5E50D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4A0B" w:rsidRPr="005E50DE" w:rsidTr="00E856EE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5E50DE" w:rsidRDefault="005E50DE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Vehicule cu trei axe</w:t>
            </w:r>
          </w:p>
        </w:tc>
      </w:tr>
      <w:tr w:rsidR="003F4A0B" w:rsidRPr="005E50D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5E50DE" w:rsidRDefault="00E856EE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4A0B" w:rsidRPr="005E50D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5E50D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4A0B" w:rsidRPr="005E50D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5E50D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4A0B" w:rsidRPr="005E50DE" w:rsidTr="00E856EE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5E50DE" w:rsidRDefault="005E50DE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Vehicule cu patru axe</w:t>
            </w:r>
          </w:p>
        </w:tc>
      </w:tr>
      <w:tr w:rsidR="003F4A0B" w:rsidRPr="005E50D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5E50D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4A0B" w:rsidRPr="005E50D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5E50D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4A0B" w:rsidRPr="005E50D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5E50D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4A0B" w:rsidRPr="005E50DE" w:rsidTr="00E856EE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5E50DE" w:rsidRDefault="005E50DE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Vehicule cu 2+1 axe</w:t>
            </w:r>
          </w:p>
        </w:tc>
      </w:tr>
      <w:tr w:rsidR="003F4A0B" w:rsidRPr="005E50D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5E50D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4A0B" w:rsidRPr="005E50D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5E50D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4A0B" w:rsidRPr="005E50D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5E50D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4A0B" w:rsidRPr="005E50DE" w:rsidTr="00E856EE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5E50DE" w:rsidRDefault="005E50DE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Vehicule cu 2+2 axe</w:t>
            </w:r>
          </w:p>
        </w:tc>
      </w:tr>
      <w:tr w:rsidR="003F4A0B" w:rsidRPr="005E50D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5E50D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4A0B" w:rsidRPr="005E50D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5E50D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4A0B" w:rsidRPr="005E50D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5E50D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4A0B" w:rsidRPr="005E50DE" w:rsidTr="00E856EE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5E50DE" w:rsidRDefault="005E50DE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Vehicule cu 2+3 axe</w:t>
            </w:r>
          </w:p>
        </w:tc>
      </w:tr>
      <w:tr w:rsidR="003F4A0B" w:rsidRPr="005E50D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5E50D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4A0B" w:rsidRPr="005E50D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5E50D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4A0B" w:rsidRPr="005E50D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5E50D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4A0B" w:rsidRPr="005E50DE" w:rsidTr="00E856EE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5E50DE" w:rsidRDefault="005E50DE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Vehicule cu 3+2 axe</w:t>
            </w:r>
          </w:p>
        </w:tc>
      </w:tr>
      <w:tr w:rsidR="003F4A0B" w:rsidRPr="005E50D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5E50D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4A0B" w:rsidRPr="005E50D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5E50D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4A0B" w:rsidRPr="005E50D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5E50D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4A0B" w:rsidRPr="005E50DE" w:rsidTr="00E856EE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5E50DE" w:rsidRDefault="005E50DE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Vehicule cu 3+3 axe</w:t>
            </w:r>
          </w:p>
        </w:tc>
      </w:tr>
      <w:tr w:rsidR="003F4A0B" w:rsidRPr="005E50D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5E50D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4A0B" w:rsidRPr="005E50D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5E50D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4A0B" w:rsidRPr="005E50D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5E50D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5E50D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D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5E50DE" w:rsidRDefault="005E50DE" w:rsidP="003F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4" w:name="do|ax5|pa7"/>
      <w:bookmarkEnd w:id="4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Notă: *SP – vehicule cu sistem de suspensie pneumatică sau echivalent recunoscut; AS – vehicule cu alt sistem de suspensie.</w:t>
      </w:r>
    </w:p>
    <w:p w:rsidR="005E50DE" w:rsidRDefault="005E50DE" w:rsidP="003F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E50DE" w:rsidRDefault="005E50DE" w:rsidP="003F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DE">
        <w:rPr>
          <w:rFonts w:ascii="Times New Roman" w:eastAsia="Times New Roman" w:hAnsi="Times New Roman" w:cs="Times New Roman"/>
          <w:color w:val="000000"/>
          <w:sz w:val="24"/>
          <w:szCs w:val="24"/>
        </w:rPr>
        <w:t>Beneficiez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scutire/ reducere de la plata impozitului pe mijloace de transport în calitate de ..................................................................................................., conform documentelor anexate:</w:t>
      </w:r>
    </w:p>
    <w:p w:rsidR="005E50DE" w:rsidRDefault="005E50DE" w:rsidP="003F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50DE" w:rsidRDefault="005E50DE" w:rsidP="003F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6FB3" w:rsidRDefault="00A76FB3" w:rsidP="003F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|_| Sunt de acord ca actele administrative fiscale să-mi fie comunicate exclusiv la adresa de poștă electronică</w:t>
      </w:r>
    </w:p>
    <w:p w:rsidR="00A76FB3" w:rsidRPr="00A76FB3" w:rsidRDefault="00A76FB3" w:rsidP="003F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4A0B" w:rsidRPr="00A76FB3" w:rsidRDefault="003F4A0B" w:rsidP="003F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do|ax5|pa19"/>
      <w:bookmarkEnd w:id="5"/>
      <w:r w:rsidRPr="00A76FB3">
        <w:rPr>
          <w:rFonts w:ascii="Times New Roman" w:eastAsia="Times New Roman" w:hAnsi="Times New Roman" w:cs="Times New Roman"/>
          <w:color w:val="000000"/>
          <w:sz w:val="24"/>
          <w:szCs w:val="24"/>
        </w:rPr>
        <w:t>Anexez la prezenta declara</w:t>
      </w:r>
      <w:r w:rsidR="0009183D" w:rsidRPr="00A76FB3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Pr="00A76FB3">
        <w:rPr>
          <w:rFonts w:ascii="Times New Roman" w:eastAsia="Times New Roman" w:hAnsi="Times New Roman" w:cs="Times New Roman"/>
          <w:color w:val="000000"/>
          <w:sz w:val="24"/>
          <w:szCs w:val="24"/>
        </w:rPr>
        <w:t>ie copii ale documentelor, certificate de conformitate cu originalul, conform art. 64</w:t>
      </w:r>
      <w:r w:rsidR="0009183D" w:rsidRPr="00A76FB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7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alin. (5) din Legea nr. </w:t>
      </w:r>
      <w:hyperlink r:id="rId8" w:history="1">
        <w:r w:rsidRPr="00A76FB3">
          <w:rPr>
            <w:rFonts w:ascii="Times New Roman" w:eastAsia="Times New Roman" w:hAnsi="Times New Roman" w:cs="Times New Roman"/>
            <w:b/>
            <w:bCs/>
            <w:color w:val="333399"/>
            <w:sz w:val="24"/>
            <w:szCs w:val="24"/>
            <w:u w:val="single"/>
          </w:rPr>
          <w:t>207/2015</w:t>
        </w:r>
      </w:hyperlink>
      <w:r w:rsidRPr="00A76FB3">
        <w:rPr>
          <w:rFonts w:ascii="Times New Roman" w:eastAsia="Times New Roman" w:hAnsi="Times New Roman" w:cs="Times New Roman"/>
          <w:color w:val="000000"/>
          <w:sz w:val="24"/>
          <w:szCs w:val="24"/>
        </w:rPr>
        <w:t> privind </w:t>
      </w:r>
      <w:hyperlink r:id="rId9" w:history="1">
        <w:r w:rsidRPr="00A76FB3">
          <w:rPr>
            <w:rFonts w:ascii="Times New Roman" w:eastAsia="Times New Roman" w:hAnsi="Times New Roman" w:cs="Times New Roman"/>
            <w:b/>
            <w:bCs/>
            <w:color w:val="333399"/>
            <w:sz w:val="24"/>
            <w:szCs w:val="24"/>
            <w:u w:val="single"/>
          </w:rPr>
          <w:t>Codul de procedură fiscală</w:t>
        </w:r>
      </w:hyperlink>
      <w:r w:rsidRPr="00A7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modificările </w:t>
      </w:r>
      <w:r w:rsidR="0009183D" w:rsidRPr="00A76FB3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 w:rsidRPr="00A76FB3">
        <w:rPr>
          <w:rFonts w:ascii="Times New Roman" w:eastAsia="Times New Roman" w:hAnsi="Times New Roman" w:cs="Times New Roman"/>
          <w:color w:val="000000"/>
          <w:sz w:val="24"/>
          <w:szCs w:val="24"/>
        </w:rPr>
        <w:t>i completările ulterioare, după cum urmează:</w:t>
      </w: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F4A0B" w:rsidRPr="00A76FB3" w:rsidTr="00A76FB3">
        <w:trPr>
          <w:tblCellSpacing w:w="0" w:type="dxa"/>
        </w:trPr>
        <w:tc>
          <w:tcPr>
            <w:tcW w:w="4536" w:type="dxa"/>
            <w:hideMark/>
          </w:tcPr>
          <w:p w:rsidR="003F4A0B" w:rsidRPr="00A76FB3" w:rsidRDefault="003F4A0B" w:rsidP="0009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do|ax5|pa20"/>
            <w:bookmarkEnd w:id="6"/>
            <w:r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1. ..................................</w:t>
            </w:r>
            <w:r w:rsidR="0009183D"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</w:t>
            </w:r>
          </w:p>
          <w:p w:rsidR="003F4A0B" w:rsidRPr="00A76FB3" w:rsidRDefault="003F4A0B" w:rsidP="0009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3. ..................................</w:t>
            </w:r>
            <w:r w:rsidR="0009183D"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</w:t>
            </w:r>
          </w:p>
          <w:p w:rsidR="003F4A0B" w:rsidRPr="00A76FB3" w:rsidRDefault="003F4A0B" w:rsidP="0009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5. ..................................</w:t>
            </w:r>
            <w:r w:rsidR="0009183D"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</w:t>
            </w:r>
          </w:p>
        </w:tc>
        <w:tc>
          <w:tcPr>
            <w:tcW w:w="4536" w:type="dxa"/>
            <w:hideMark/>
          </w:tcPr>
          <w:p w:rsidR="003F4A0B" w:rsidRPr="00A76FB3" w:rsidRDefault="003F4A0B" w:rsidP="0009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2. ..................................</w:t>
            </w:r>
            <w:r w:rsidR="0009183D"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</w:t>
            </w:r>
          </w:p>
          <w:p w:rsidR="003F4A0B" w:rsidRPr="00A76FB3" w:rsidRDefault="003F4A0B" w:rsidP="0009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09183D"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</w:t>
            </w:r>
          </w:p>
          <w:p w:rsidR="003F4A0B" w:rsidRPr="00A76FB3" w:rsidRDefault="003F4A0B" w:rsidP="0009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09183D"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</w:t>
            </w:r>
          </w:p>
        </w:tc>
      </w:tr>
    </w:tbl>
    <w:p w:rsidR="003F4A0B" w:rsidRDefault="003F4A0B" w:rsidP="003F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do|ax5|pa21"/>
      <w:bookmarkEnd w:id="7"/>
      <w:r w:rsidRPr="00A76FB3">
        <w:rPr>
          <w:rFonts w:ascii="Times New Roman" w:eastAsia="Times New Roman" w:hAnsi="Times New Roman" w:cs="Times New Roman"/>
          <w:color w:val="000000"/>
          <w:sz w:val="24"/>
          <w:szCs w:val="24"/>
        </w:rPr>
        <w:t>Prin semnarea prezentei am luat la cuno</w:t>
      </w:r>
      <w:r w:rsidR="00C36946" w:rsidRPr="00A76FB3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 w:rsidRPr="00A76FB3">
        <w:rPr>
          <w:rFonts w:ascii="Times New Roman" w:eastAsia="Times New Roman" w:hAnsi="Times New Roman" w:cs="Times New Roman"/>
          <w:color w:val="000000"/>
          <w:sz w:val="24"/>
          <w:szCs w:val="24"/>
        </w:rPr>
        <w:t>tin</w:t>
      </w:r>
      <w:r w:rsidR="00C36946" w:rsidRPr="00A76FB3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Pr="00A76FB3">
        <w:rPr>
          <w:rFonts w:ascii="Times New Roman" w:eastAsia="Times New Roman" w:hAnsi="Times New Roman" w:cs="Times New Roman"/>
          <w:color w:val="000000"/>
          <w:sz w:val="24"/>
          <w:szCs w:val="24"/>
        </w:rPr>
        <w:t>ă că declararea necorespunzătoare a adevărului se pedepse</w:t>
      </w:r>
      <w:r w:rsidR="00C36946" w:rsidRPr="00A76FB3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 w:rsidRPr="00A76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 conform legii penale, cele declarate fiind corecte </w:t>
      </w:r>
      <w:r w:rsidR="00C36946" w:rsidRPr="00A76FB3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 w:rsidRPr="00A76FB3">
        <w:rPr>
          <w:rFonts w:ascii="Times New Roman" w:eastAsia="Times New Roman" w:hAnsi="Times New Roman" w:cs="Times New Roman"/>
          <w:color w:val="000000"/>
          <w:sz w:val="24"/>
          <w:szCs w:val="24"/>
        </w:rPr>
        <w:t>i complete.</w:t>
      </w:r>
    </w:p>
    <w:p w:rsidR="00A76FB3" w:rsidRPr="00A76FB3" w:rsidRDefault="00A76FB3" w:rsidP="003F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F4A0B" w:rsidRPr="00A76FB3" w:rsidTr="00C36946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3F4A0B" w:rsidRPr="00A76FB3" w:rsidRDefault="003F4A0B" w:rsidP="00C3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do|ax5|pa22"/>
            <w:bookmarkEnd w:id="8"/>
            <w:r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................</w:t>
            </w:r>
            <w:r w:rsidR="0012588D"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</w:t>
            </w:r>
          </w:p>
        </w:tc>
        <w:tc>
          <w:tcPr>
            <w:tcW w:w="2500" w:type="pct"/>
            <w:vAlign w:val="center"/>
            <w:hideMark/>
          </w:tcPr>
          <w:p w:rsidR="003F4A0B" w:rsidRPr="00A76FB3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Subsemnatul,</w:t>
            </w:r>
          </w:p>
          <w:p w:rsidR="00C36946" w:rsidRPr="00A76FB3" w:rsidRDefault="00C36946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4A0B" w:rsidRPr="00A76FB3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</w:t>
            </w:r>
            <w:r w:rsidR="0012588D"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</w:t>
            </w:r>
          </w:p>
          <w:p w:rsidR="003F4A0B" w:rsidRPr="00A76FB3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(numele, prenumele </w:t>
            </w:r>
            <w:r w:rsidR="00C36946"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</w:t>
            </w:r>
            <w:r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semnătura)</w:t>
            </w:r>
          </w:p>
          <w:p w:rsidR="003F4A0B" w:rsidRPr="00A76FB3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L.S. în cazul persoanelor juridice</w:t>
            </w:r>
          </w:p>
        </w:tc>
      </w:tr>
    </w:tbl>
    <w:p w:rsidR="003F4A0B" w:rsidRPr="00A76FB3" w:rsidRDefault="003F4A0B" w:rsidP="003F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do|ax5|pa23"/>
      <w:bookmarkEnd w:id="9"/>
      <w:r w:rsidRPr="00A76FB3">
        <w:rPr>
          <w:rFonts w:ascii="Times New Roman" w:eastAsia="Times New Roman" w:hAnsi="Times New Roman" w:cs="Times New Roman"/>
          <w:color w:val="000000"/>
          <w:sz w:val="24"/>
          <w:szCs w:val="24"/>
        </w:rPr>
        <w:t>Sec</w:t>
      </w:r>
      <w:r w:rsidR="00C36946" w:rsidRPr="00A76FB3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Pr="00A76FB3">
        <w:rPr>
          <w:rFonts w:ascii="Times New Roman" w:eastAsia="Times New Roman" w:hAnsi="Times New Roman" w:cs="Times New Roman"/>
          <w:color w:val="000000"/>
          <w:sz w:val="24"/>
          <w:szCs w:val="24"/>
        </w:rPr>
        <w:t>iune rezervată organului fiscal: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6654"/>
      </w:tblGrid>
      <w:tr w:rsidR="003F4A0B" w:rsidRPr="00A76FB3" w:rsidTr="00A76FB3">
        <w:trPr>
          <w:tblCellSpacing w:w="0" w:type="dxa"/>
        </w:trPr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A76FB3" w:rsidRDefault="00FB4A06" w:rsidP="00C3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do|ax5|pa24"/>
            <w:bookmarkEnd w:id="10"/>
            <w:r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3F4A0B"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umele</w:t>
            </w:r>
            <w:r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și prenumele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A76FB3" w:rsidRDefault="003F4A0B" w:rsidP="00C3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4A0B" w:rsidRPr="00A76FB3" w:rsidTr="00A76FB3">
        <w:trPr>
          <w:tblCellSpacing w:w="0" w:type="dxa"/>
        </w:trPr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A76FB3" w:rsidRDefault="003F4A0B" w:rsidP="00C3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 legitima</w:t>
            </w:r>
            <w:r w:rsidR="00FB4A06"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ț</w:t>
            </w:r>
            <w:r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A76FB3" w:rsidRDefault="003F4A0B" w:rsidP="00C3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4A0B" w:rsidRPr="00A76FB3" w:rsidTr="00A76FB3">
        <w:trPr>
          <w:tblCellSpacing w:w="0" w:type="dxa"/>
        </w:trPr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A76FB3" w:rsidRDefault="003F4A0B" w:rsidP="00C3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Semnătura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A76FB3" w:rsidRDefault="003F4A0B" w:rsidP="00C3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F4A0B" w:rsidRDefault="003F4A0B" w:rsidP="003F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bookmarkStart w:id="11" w:name="do|ax5|pa1"/>
      <w:bookmarkEnd w:id="11"/>
    </w:p>
    <w:p w:rsidR="003C7DFD" w:rsidRDefault="003C7DFD" w:rsidP="003F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DFD" w:rsidRDefault="003C7DFD" w:rsidP="003F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DFD" w:rsidRDefault="003C7DFD" w:rsidP="003F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DFD" w:rsidRDefault="003C7DFD" w:rsidP="003F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DFD" w:rsidRDefault="003C7DFD" w:rsidP="003F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DFD" w:rsidRDefault="003C7DFD" w:rsidP="003F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DFD" w:rsidRDefault="003C7DFD" w:rsidP="003F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DFD" w:rsidRDefault="003C7DFD" w:rsidP="003F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DFD" w:rsidRDefault="003C7DFD" w:rsidP="003F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DFD" w:rsidRDefault="003C7DFD" w:rsidP="003F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DFD" w:rsidRDefault="003C7DFD" w:rsidP="003F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DFD" w:rsidRDefault="003C7DFD" w:rsidP="003F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DFD" w:rsidRDefault="003C7DFD" w:rsidP="003F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DFD" w:rsidRPr="00A76FB3" w:rsidRDefault="003C7DFD" w:rsidP="003F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GoBack"/>
      <w:bookmarkEnd w:id="12"/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9"/>
        <w:gridCol w:w="1175"/>
        <w:gridCol w:w="542"/>
        <w:gridCol w:w="554"/>
        <w:gridCol w:w="542"/>
        <w:gridCol w:w="1176"/>
        <w:gridCol w:w="1091"/>
        <w:gridCol w:w="1135"/>
        <w:gridCol w:w="1122"/>
      </w:tblGrid>
      <w:tr w:rsidR="003F4A0B" w:rsidRPr="00A76FB3" w:rsidTr="001451C6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A76FB3" w:rsidRDefault="003F4A0B" w:rsidP="0012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3" w:name="do|ax5|pa2"/>
            <w:bookmarkEnd w:id="13"/>
            <w:r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Dacă din motive independente de voin</w:t>
            </w:r>
            <w:r w:rsidR="0012588D"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ț</w:t>
            </w:r>
            <w:r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contribuabilului/plătitorului acesta este în imposibilitatea de a scrie, atunci un reprezentant al organului fiscal îi va redacta declara</w:t>
            </w:r>
            <w:r w:rsidR="0012588D"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ț</w:t>
            </w:r>
            <w:r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ia fiscală </w:t>
            </w:r>
            <w:r w:rsidR="0012588D"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</w:t>
            </w:r>
            <w:r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îi va citi integral con</w:t>
            </w:r>
            <w:r w:rsidR="0012588D"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ț</w:t>
            </w:r>
            <w:r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inutul acesteia. Declara</w:t>
            </w:r>
            <w:r w:rsidR="0012588D"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ț</w:t>
            </w:r>
            <w:r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 fiscală constituie proces-verbal în sensul art. 103</w:t>
            </w:r>
            <w:r w:rsidR="0012588D"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alin. (2) din Legea nr. </w:t>
            </w:r>
            <w:hyperlink r:id="rId10" w:history="1">
              <w:r w:rsidRPr="00A76FB3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4"/>
                  <w:szCs w:val="24"/>
                  <w:u w:val="single"/>
                </w:rPr>
                <w:t>207/2015</w:t>
              </w:r>
            </w:hyperlink>
            <w:r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cu modificările </w:t>
            </w:r>
            <w:r w:rsidR="0012588D"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</w:t>
            </w:r>
            <w:r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completările ulterioare.</w:t>
            </w:r>
          </w:p>
        </w:tc>
      </w:tr>
      <w:tr w:rsidR="003F4A0B" w:rsidRPr="00A76FB3" w:rsidTr="001451C6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A76FB3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Data </w:t>
            </w:r>
            <w:r w:rsidR="0012588D"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</w:t>
            </w:r>
            <w:r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semnătura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A76FB3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A76FB3" w:rsidRDefault="003F4A0B" w:rsidP="0012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de identificare ale reprezentantului organului fiscal:</w:t>
            </w:r>
          </w:p>
        </w:tc>
      </w:tr>
      <w:tr w:rsidR="003F4A0B" w:rsidRPr="00A76FB3" w:rsidTr="001451C6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A76FB3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Posed actul de identitate: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A76FB3" w:rsidRDefault="003F4A0B" w:rsidP="0012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Tipul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0B" w:rsidRPr="00A76FB3" w:rsidRDefault="003F4A0B" w:rsidP="0012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A76FB3" w:rsidRDefault="003F4A0B" w:rsidP="0012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0B" w:rsidRPr="00A76FB3" w:rsidRDefault="003F4A0B" w:rsidP="0012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A76FB3" w:rsidRDefault="003F4A0B" w:rsidP="0012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Numărul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0B" w:rsidRPr="00A76FB3" w:rsidRDefault="003F4A0B" w:rsidP="0012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A76FB3" w:rsidRDefault="003F4A0B" w:rsidP="0012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Eliberat de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0B" w:rsidRPr="00A76FB3" w:rsidRDefault="003F4A0B" w:rsidP="0012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2DE7" w:rsidRPr="00A76FB3" w:rsidRDefault="008B2DE7" w:rsidP="003F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do|ax6"/>
      <w:bookmarkEnd w:id="14"/>
    </w:p>
    <w:sectPr w:rsidR="008B2DE7" w:rsidRPr="00A76FB3" w:rsidSect="00023C87">
      <w:pgSz w:w="11907" w:h="16840" w:code="9"/>
      <w:pgMar w:top="851" w:right="1134" w:bottom="851" w:left="1701" w:header="709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83C"/>
    <w:multiLevelType w:val="hybridMultilevel"/>
    <w:tmpl w:val="C0A0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C164D"/>
    <w:multiLevelType w:val="hybridMultilevel"/>
    <w:tmpl w:val="AD3C43EA"/>
    <w:lvl w:ilvl="0" w:tplc="39A26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C5275"/>
    <w:multiLevelType w:val="hybridMultilevel"/>
    <w:tmpl w:val="40DA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54F70"/>
    <w:multiLevelType w:val="hybridMultilevel"/>
    <w:tmpl w:val="8562A81E"/>
    <w:lvl w:ilvl="0" w:tplc="39A26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A35D5"/>
    <w:multiLevelType w:val="hybridMultilevel"/>
    <w:tmpl w:val="BE4281D2"/>
    <w:lvl w:ilvl="0" w:tplc="39A26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16FB9"/>
    <w:multiLevelType w:val="hybridMultilevel"/>
    <w:tmpl w:val="68D66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A0B"/>
    <w:rsid w:val="00023C87"/>
    <w:rsid w:val="0009183D"/>
    <w:rsid w:val="0011305B"/>
    <w:rsid w:val="0012588D"/>
    <w:rsid w:val="001451C6"/>
    <w:rsid w:val="002D43E8"/>
    <w:rsid w:val="00336099"/>
    <w:rsid w:val="003C7DFD"/>
    <w:rsid w:val="003F4A0B"/>
    <w:rsid w:val="0042242D"/>
    <w:rsid w:val="004A33DC"/>
    <w:rsid w:val="005637F6"/>
    <w:rsid w:val="005E50DE"/>
    <w:rsid w:val="00794FC3"/>
    <w:rsid w:val="008B2DE7"/>
    <w:rsid w:val="009172D3"/>
    <w:rsid w:val="00A76FB3"/>
    <w:rsid w:val="00AE1A3F"/>
    <w:rsid w:val="00C36946"/>
    <w:rsid w:val="00D11D25"/>
    <w:rsid w:val="00D83BA9"/>
    <w:rsid w:val="00E856EE"/>
    <w:rsid w:val="00FB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B5204"/>
  <w15:chartTrackingRefBased/>
  <w15:docId w15:val="{FA016AE5-EBB4-470E-B663-C136AFD3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F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3F4A0B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3F4A0B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E85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153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5075220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81155608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2247269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1566742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7710344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2790542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1261927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359334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7252322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6283498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9256271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7771521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2828548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7605571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2974328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5143568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5445032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4034338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7186318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7846750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0162262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8590619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363849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5868115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9980468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2344960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2336078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210228768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4111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0017186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rept.ro/00172816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rept.ro/00172813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cretariat@primaria.tulca.ro" TargetMode="External"/><Relationship Id="rId10" Type="http://schemas.openxmlformats.org/officeDocument/2006/relationships/hyperlink" Target="https://idrept.ro/0017186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rept.ro/00171868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</dc:creator>
  <cp:keywords/>
  <dc:description/>
  <cp:lastModifiedBy>Georgiana</cp:lastModifiedBy>
  <cp:revision>4</cp:revision>
  <dcterms:created xsi:type="dcterms:W3CDTF">2021-05-18T05:51:00Z</dcterms:created>
  <dcterms:modified xsi:type="dcterms:W3CDTF">2021-05-18T06:05:00Z</dcterms:modified>
</cp:coreProperties>
</file>